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361D564B" w:rsidR="0017528F" w:rsidRPr="00FB4084" w:rsidRDefault="00AC4F7D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Little Lever </w:t>
                                      </w:r>
                                      <w:r w:rsidR="008908B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Centre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025BF7F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GCSEs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&#13;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&#13;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&#13;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&#13;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361D564B" w:rsidR="0017528F" w:rsidRPr="00FB4084" w:rsidRDefault="00AC4F7D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Little Lever </w:t>
                                </w:r>
                                <w:r w:rsidR="008908B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Centre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025BF7F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GCSEs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1066E520" w:rsidR="00B918D5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 xml:space="preserve">circumstances. </w:t>
          </w:r>
          <w:r w:rsidR="00586AEE">
            <w:t>C</w:t>
          </w:r>
          <w:r w:rsidR="00775D2E" w:rsidRPr="00494DD3">
            <w:t>entres must understand and actively implement the centre policy adopted</w:t>
          </w:r>
          <w:r w:rsidR="00586AEE">
            <w:t>.</w:t>
          </w:r>
        </w:p>
        <w:p w14:paraId="75D7DDEF" w14:textId="00FBA016" w:rsidR="00EA4C6B" w:rsidRDefault="00586AEE" w:rsidP="00B918D5">
          <w:pPr>
            <w:pStyle w:val="StdPara"/>
          </w:pPr>
          <w:r>
            <w:t xml:space="preserve">This </w:t>
          </w:r>
          <w:r w:rsidR="00B918D5">
            <w:t>policy take</w:t>
          </w:r>
          <w:r>
            <w:t>s</w:t>
          </w:r>
          <w:r w:rsidR="00B918D5">
            <w:t xml:space="preserve"> account of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r>
            <w:br w:type="page"/>
          </w:r>
        </w:p>
        <w:p w14:paraId="7CCCE043" w14:textId="4AE6802D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04576A">
            <w:t xml:space="preserve">LITTLE LEVER SCHOOL 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3ABCB115" w:rsidR="009258F9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73E23AEF" w14:textId="2CC20D96" w:rsidR="0004576A" w:rsidRPr="00586AEE" w:rsidRDefault="0004576A" w:rsidP="004003C6">
          <w:pPr>
            <w:pStyle w:val="StdPara"/>
            <w:rPr>
              <w:b/>
              <w:bCs/>
            </w:rPr>
          </w:pPr>
          <w:r w:rsidRPr="00586AEE">
            <w:rPr>
              <w:b/>
              <w:bCs/>
            </w:rPr>
            <w:t>This document should be read in conjunction with Little Lever’s GCSE 2021 Staff Guidance Handbook</w:t>
          </w:r>
          <w:r w:rsidR="00586AEE" w:rsidRPr="00586AEE">
            <w:rPr>
              <w:b/>
              <w:bCs/>
            </w:rPr>
            <w:t xml:space="preserve"> (GCSE 2021 SGH)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07EF384" w14:textId="45FF1657" w:rsidR="009258F9" w:rsidRPr="0004576A" w:rsidRDefault="006E77C6" w:rsidP="0004576A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1FB9B2AD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every student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7B6BA091" w14:textId="4B70DB50" w:rsidR="009258F9" w:rsidRPr="00740B85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784A25D7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Mr Dominic </w:t>
                </w:r>
                <w:proofErr w:type="spellStart"/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>Mckeon</w:t>
                </w:r>
                <w:proofErr w:type="spellEnd"/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41EA920D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school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5A540BC2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</w:t>
                </w:r>
                <w:r w:rsidR="0004576A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Subject Leaders</w:t>
                </w:r>
              </w:p>
              <w:p w14:paraId="7C77966F" w14:textId="2E955506" w:rsidR="0053618E" w:rsidRDefault="0053618E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will:</w:t>
                </w:r>
              </w:p>
              <w:p w14:paraId="31EB8200" w14:textId="77777777" w:rsidR="0004576A" w:rsidRDefault="0004576A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</w:p>
              <w:p w14:paraId="383ED97E" w14:textId="385A16A1" w:rsidR="0004576A" w:rsidRPr="0004576A" w:rsidRDefault="0004576A" w:rsidP="0004576A">
                <w:pPr>
                  <w:pStyle w:val="ListParagraph"/>
                  <w:numPr>
                    <w:ilvl w:val="0"/>
                    <w:numId w:val="38"/>
                  </w:num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  <w:t>Quality assure every students' grade in every subject and ensure GCSE grades reflect the fair and accurate process outlined in the GCSE 2021 Staff Guidance Handbook</w:t>
                </w:r>
                <w:r w:rsidR="00586AEE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  <w:t xml:space="preserve"> (SGH)</w:t>
                </w:r>
                <w:r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  <w:t xml:space="preserve"> taking into account national benchmarks and historical performance</w:t>
                </w:r>
                <w:r w:rsidR="00586AEE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  <w:t xml:space="preserve"> between 2017 and 2019.</w:t>
                </w:r>
                <w:r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  <w:t xml:space="preserve">  </w:t>
                </w:r>
              </w:p>
              <w:p w14:paraId="2200C184" w14:textId="77777777" w:rsidR="0004576A" w:rsidRDefault="0004576A" w:rsidP="0004576A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</w:p>
              <w:p w14:paraId="4D1403D4" w14:textId="204C6A43" w:rsidR="0004576A" w:rsidRDefault="0004576A" w:rsidP="0004576A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Subject Leaders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045BC5E" w14:textId="77777777" w:rsidR="0004576A" w:rsidRPr="00DC7E69" w:rsidRDefault="0004576A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</w:p>
              <w:p w14:paraId="22B22529" w14:textId="22E03BB1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>all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staff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involved in awarding GCSE grades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3C1CDFA6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be responsible for ensuring staff have a clear understanding of the internal and external quality assurance processes and their role within it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(see GCSE 2021 Staff Guidance Handbook)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541EB6C5" w14:textId="464C6B51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>e following the guidance issued in the GCSE 2021 Staff Guidance Handbook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6DCEC95B" w14:textId="70B771D1" w:rsidR="009258F9" w:rsidRPr="00586AEE" w:rsidRDefault="009258F9" w:rsidP="00BD2ACC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  <w:r w:rsidR="0004576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8964235" w14:textId="5B0EA9D4" w:rsidR="00586AEE" w:rsidRDefault="00586AEE" w:rsidP="00586AEE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5C960DD2" w14:textId="77777777" w:rsidR="00586AEE" w:rsidRPr="00586AEE" w:rsidRDefault="00586AEE" w:rsidP="00586AEE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31AE60B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and the GCSE 2021 Staff Guidance Handbook (SGH)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</w:t>
                </w:r>
                <w:r w:rsidRPr="0004576A">
                  <w:rPr>
                    <w:rFonts w:eastAsia="Calibri" w:cs="Calibri"/>
                    <w:i/>
                    <w:iCs/>
                    <w:color w:val="000000" w:themeColor="text1"/>
                    <w:u w:val="single"/>
                  </w:rPr>
                  <w:t xml:space="preserve">evidence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650AF0F9" w:rsidR="008B5D83" w:rsidRPr="00586AEE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n </w:t>
                </w:r>
                <w:r w:rsidR="0004576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Evidence File that contains an </w:t>
                </w:r>
                <w:r w:rsidR="00813EF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Assessment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4576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student in </w:t>
                </w:r>
                <w:proofErr w:type="gramStart"/>
                <w:r w:rsidR="0004576A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each  </w:t>
                </w:r>
                <w:r w:rsidR="000046F4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subject</w:t>
                </w:r>
                <w:proofErr w:type="gramEnd"/>
                <w:r w:rsidR="000046F4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cohort</w:t>
                </w:r>
                <w:r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 evidence that explains the</w:t>
                </w:r>
                <w:r w:rsidR="009A515D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561F4B33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 xml:space="preserve">  All teachers will refer to the GCSE 2021 SGH</w:t>
                </w:r>
              </w:p>
              <w:p w14:paraId="48033288" w14:textId="0080A446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 xml:space="preserve">  This has been included within the GCSE 2021 SGH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82F7B5B" w14:textId="5CCCA961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328ADABC" w:rsidR="009258F9" w:rsidRPr="0004576A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586AEE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4AC55430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4576A">
                  <w:rPr>
                    <w:rFonts w:eastAsia="Calibri" w:cstheme="minorHAnsi"/>
                    <w:bCs/>
                    <w:i/>
                    <w:iCs/>
                  </w:rPr>
                  <w:t xml:space="preserve"> if necessary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4A7C9B7D" w14:textId="1FFC5BEC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For example</w:t>
                </w:r>
                <w:r w:rsidR="00AA14ED">
                  <w:rPr>
                    <w:rFonts w:eastAsia="Calibri"/>
                    <w:i/>
                    <w:iCs/>
                  </w:rPr>
                  <w:t>, whe</w:t>
                </w:r>
                <w:r w:rsidR="007D2AD7">
                  <w:rPr>
                    <w:rFonts w:eastAsia="Calibri"/>
                    <w:i/>
                    <w:iCs/>
                  </w:rPr>
                  <w:t>n AAM is</w:t>
                </w:r>
                <w:r w:rsidR="00AA14ED">
                  <w:rPr>
                    <w:rFonts w:eastAsia="Calibri"/>
                    <w:i/>
                    <w:iCs/>
                  </w:rPr>
                  <w:t xml:space="preserve"> used</w:t>
                </w:r>
                <w:r w:rsidRPr="0A7234CF">
                  <w:rPr>
                    <w:rFonts w:eastAsia="Calibri"/>
                    <w:i/>
                    <w:iCs/>
                  </w:rPr>
                  <w:t>: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6B53C7EE" w:rsidR="009258F9" w:rsidRPr="00586AEE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level of control under which </w:t>
                </w:r>
                <w:r w:rsidR="00F35A0C" w:rsidRPr="00586AEE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completed, for example, whether the evidence </w:t>
                </w:r>
                <w:r w:rsidR="00F35A0C" w:rsidRPr="00586AEE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  <w:r w:rsidR="0004576A"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BA53AE7" w14:textId="21D4B321" w:rsidR="009258F9" w:rsidRPr="00586AEE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ensure that we are able to authenticate the work as the </w:t>
                </w:r>
                <w:r w:rsidR="00A7769D" w:rsidRPr="00586AEE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586AEE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 w:rsidRPr="00586AEE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28F849E5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Evidence File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for each 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student in each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Subject Leader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 Central student files will be created which will contain all subjects and evidence for each subject.   Each Central Student Evidence file will be reviewed by the Senior Leadership Team.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6E492AAC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04576A">
                  <w:rPr>
                    <w:rFonts w:eastAsia="Calibri"/>
                    <w:i/>
                    <w:iCs/>
                  </w:rPr>
                  <w:t xml:space="preserve"> and the GCSE 2021 SGH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143EF739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</w:t>
                </w:r>
                <w:r w:rsidR="0004576A">
                  <w:rPr>
                    <w:rFonts w:eastAsia="Calibri"/>
                    <w:i/>
                    <w:iCs/>
                  </w:rPr>
                  <w:t>Evidence File</w:t>
                </w:r>
                <w:r w:rsidR="00666591">
                  <w:rPr>
                    <w:rFonts w:eastAsia="Calibri"/>
                    <w:i/>
                    <w:iCs/>
                  </w:rPr>
                  <w:t xml:space="preserve">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4312A861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be </w:t>
                </w:r>
                <w:r w:rsidR="0004576A">
                  <w:rPr>
                    <w:rFonts w:eastAsia="Calibri"/>
                    <w:i/>
                    <w:iCs/>
                  </w:rPr>
                  <w:t>a Line Manager or Senior Leader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7C1E80EF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</w:t>
                </w:r>
                <w:r w:rsidR="00586AEE">
                  <w:rPr>
                    <w:i/>
                    <w:iCs/>
                  </w:rPr>
                  <w:t xml:space="preserve">2017 - </w:t>
                </w:r>
                <w:r w:rsidRPr="00155DDD">
                  <w:rPr>
                    <w:i/>
                    <w:iCs/>
                  </w:rPr>
                  <w:t>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E1A4389" w14:textId="761F7CA0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73DA8DDA" w14:textId="77777777" w:rsidR="009258F9" w:rsidRPr="0004576A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  <w:p w14:paraId="2FC30506" w14:textId="5EC505DF" w:rsidR="0004576A" w:rsidRPr="005D33E5" w:rsidRDefault="0004576A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i/>
                    <w:iCs/>
                  </w:rPr>
                  <w:t>We will review rates of progress from one year to the next to establish a trajectory of improvement / decline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CB56D8D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</w:t>
                </w:r>
                <w:r w:rsidR="0004576A">
                  <w:rPr>
                    <w:rFonts w:eastAsia="Calibri" w:cs="Calibri"/>
                    <w:i/>
                    <w:iCs/>
                    <w:color w:val="221E1F"/>
                  </w:rPr>
                  <w:t xml:space="preserve"> </w:t>
                </w: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62C64F6C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File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2C54C92" w14:textId="3574D429" w:rsidR="009258F9" w:rsidRDefault="009258F9" w:rsidP="00586AEE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  <w:r w:rsidR="0004576A">
                  <w:rPr>
                    <w:rStyle w:val="Hyperlink"/>
                    <w:rFonts w:eastAsia="Calibri" w:cs="Calibri"/>
                    <w:i/>
                    <w:iCs/>
                  </w:rPr>
                  <w:t xml:space="preserve"> </w:t>
                </w:r>
                <w:r w:rsidR="0004576A">
                  <w:rPr>
                    <w:rStyle w:val="Hyperlink"/>
                    <w:rFonts w:cs="Calibri"/>
                  </w:rPr>
                  <w:t xml:space="preserve"> </w:t>
                </w: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12BF314F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  <w:r w:rsidR="0004576A">
                  <w:rPr>
                    <w:rFonts w:eastAsia="Calibri"/>
                  </w:rPr>
                  <w:t xml:space="preserve">  There will be no detriment to students that have had to self-isolate.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</w:t>
                </w:r>
                <w:proofErr w:type="gramEnd"/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forms of bias); and</w:t>
                </w:r>
              </w:p>
              <w:p w14:paraId="12D22540" w14:textId="4CE59043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  <w:r w:rsidR="0004576A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(see GCSE 2021 SGH)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271AB52F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  <w:r w:rsidR="0004576A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(See GCSE 2021 SGH)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707D3EC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teachers and </w:t>
                </w:r>
                <w:r w:rsidR="0004576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Subject Leaders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maintain records that show how the teacher assessed grades process operated, including the rationale for decisions in relation to individual marks/grades</w:t>
                </w:r>
                <w:r w:rsid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2BF0F97F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>(See GCSE 2021 SGH)</w:t>
                </w:r>
              </w:p>
              <w:p w14:paraId="5C3520B1" w14:textId="0FDEF8EC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[LINK] to support these determinations of authenticity.</w:t>
                </w:r>
                <w:r w:rsidR="0004576A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78001CEB" w:rsidR="009258F9" w:rsidRPr="00586AEE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Our general </w:t>
                </w:r>
                <w:r w:rsidR="00AD328D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centre policies</w:t>
                </w: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1E265F32" w14:textId="37626380" w:rsidR="009258F9" w:rsidRPr="00586AEE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All staff </w:t>
                </w:r>
                <w:r w:rsidR="009451BC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involved </w:t>
                </w: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have been made aware of these </w:t>
                </w:r>
                <w:proofErr w:type="gramStart"/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policies, and</w:t>
                </w:r>
                <w:proofErr w:type="gramEnd"/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have received training in them as necessary</w:t>
                </w:r>
                <w:r w:rsidR="009451BC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69917C27" w14:textId="65094A84" w:rsidR="009258F9" w:rsidRPr="00586AEE" w:rsidRDefault="009258F9" w:rsidP="004D718E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theme="minorHAnsi"/>
                    <w:bCs/>
                  </w:rPr>
                </w:pPr>
                <w:r w:rsidRPr="00586AEE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586AEE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586AEE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586AEE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586AEE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586AEE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586AEE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586AEE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7E4F863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</w:t>
                </w:r>
                <w:proofErr w:type="gramStart"/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all  staff</w:t>
                </w:r>
                <w:proofErr w:type="gramEnd"/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6B2C8F78" w:rsidR="009258F9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586AEE">
                <w:pPr>
                  <w:pStyle w:val="ListParagraph"/>
                  <w:spacing w:after="120" w:line="264" w:lineRule="auto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459FBB3C" w14:textId="77777777" w:rsidR="009258F9" w:rsidRDefault="009258F9" w:rsidP="001D2ABF">
          <w:pPr>
            <w:pStyle w:val="Heading2"/>
          </w:pPr>
          <w:bookmarkStart w:id="4" w:name="_Hlk67142967"/>
          <w:r w:rsidRPr="0A7234CF">
            <w:lastRenderedPageBreak/>
            <w:t xml:space="preserve">Private candidates </w:t>
          </w:r>
        </w:p>
        <w:p w14:paraId="1BDEC5F7" w14:textId="435BB8E6" w:rsidR="009258F9" w:rsidRDefault="009258F9" w:rsidP="001D2ABF">
          <w:pPr>
            <w:pStyle w:val="StdPara"/>
          </w:pPr>
          <w:r>
            <w:t xml:space="preserve">This section of </w:t>
          </w:r>
          <w:r w:rsidR="00DA7946">
            <w:t>our</w:t>
          </w:r>
          <w:r>
            <w:t xml:space="preserve"> Centre Policy</w:t>
          </w:r>
          <w:r w:rsidR="00DA7946">
            <w:t xml:space="preserve"> </w:t>
          </w:r>
          <w:r>
            <w:t>outline</w:t>
          </w:r>
          <w:r w:rsidR="00DA7946">
            <w:t>s</w:t>
          </w:r>
          <w:r>
            <w:t xml:space="preserve"> our approach to working with Private Candidates to arrive at appropriate grades.</w:t>
          </w:r>
        </w:p>
        <w:p w14:paraId="4C5D4E0D" w14:textId="77777777" w:rsidR="009258F9" w:rsidRDefault="009258F9" w:rsidP="009258F9"/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2B60A2F6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328820D7" w14:textId="77777777" w:rsidR="009258F9" w:rsidRPr="009743AC" w:rsidRDefault="009258F9" w:rsidP="008276A8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09743AC">
                  <w:rPr>
                    <w:rFonts w:eastAsia="Calibri"/>
                    <w:b/>
                    <w:bCs/>
                    <w:color w:val="000000" w:themeColor="text1"/>
                  </w:rPr>
                  <w:t>Private Candidates</w:t>
                </w:r>
              </w:p>
            </w:tc>
          </w:tr>
          <w:tr w:rsidR="009258F9" w14:paraId="3F2B28C2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5587C74" w14:textId="34A4B8AC" w:rsidR="009258F9" w:rsidRDefault="00DA794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providing and quality assuring grades to Private Candidates.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EAB33C0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2B75B178" w14:textId="2E4D7C85" w:rsidR="009258F9" w:rsidRDefault="00445192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[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For example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:]</w:t>
                </w:r>
              </w:p>
              <w:p w14:paraId="5D2624C1" w14:textId="0CCBF8A8" w:rsidR="009258F9" w:rsidRPr="003B3578" w:rsidRDefault="00445192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 a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rrangements for assessing Private Candidates to arrive at appropriate grades are identical to the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es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utilised for internal candidates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B5CE9FD" w14:textId="68DD0035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Where it has been necessary to utilise different approaches,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 on Private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has been followed and any divergences from 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 xml:space="preserve"> for internal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recorded on the appropriate class/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documentation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6895BA3" w14:textId="3DA0DFE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 undertaking the review of cohort grades in conjunction with our centre results profiles from previous examined years, the grades</w:t>
                </w:r>
                <w:r w:rsidR="00506A0D">
                  <w:rPr>
                    <w:rFonts w:eastAsia="Calibri" w:cstheme="minorHAnsi"/>
                    <w:bCs/>
                    <w:i/>
                    <w:iCs/>
                  </w:rPr>
                  <w:t xml:space="preserve"> determined by our centre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for Private Candidates have been excluded from 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analysis.</w:t>
                </w:r>
              </w:p>
              <w:p w14:paraId="6E8D560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6E46F63" w14:textId="7777777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2BAB5D0" w:rsidR="009258F9" w:rsidRPr="00586AEE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>Instances where</w:t>
                </w:r>
                <w:r w:rsidR="00A7769D"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student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evidence used to decide </w:t>
                </w:r>
                <w:r w:rsidR="003650E4" w:rsidRPr="00586AEE">
                  <w:rPr>
                    <w:rFonts w:eastAsia="Calibri"/>
                    <w:i/>
                    <w:iCs/>
                    <w:color w:val="000000" w:themeColor="text1"/>
                  </w:rPr>
                  <w:t>teacher assessed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grades is not available, for example where the material has previously been returned to </w:t>
                </w:r>
                <w:r w:rsidR="00A7769D"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students 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and cannot now be retrieved, </w:t>
                </w:r>
                <w:r w:rsidR="002C439D" w:rsidRPr="00586AEE">
                  <w:rPr>
                    <w:rFonts w:eastAsia="Calibri"/>
                    <w:i/>
                    <w:iCs/>
                    <w:color w:val="000000" w:themeColor="text1"/>
                  </w:rPr>
                  <w:t>will be</w:t>
                </w:r>
                <w:r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clearly recorded on the appropriate documentation</w:t>
                </w:r>
                <w:r w:rsidR="002C439D" w:rsidRPr="00586AEE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7DF3F01" w14:textId="661AF1CA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</w:t>
                </w:r>
                <w:r w:rsidRPr="003B3578">
                  <w:rPr>
                    <w:rFonts w:eastAsia="Calibri"/>
                    <w:i/>
                    <w:iCs/>
                  </w:rPr>
                  <w:lastRenderedPageBreak/>
                  <w:t>can respond promptly and fully to enquiries, including attendance at Virtual Visits should this prove necessary.</w:t>
                </w:r>
                <w:r w:rsidR="0004576A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038CA8F0" w:rsidR="009258F9" w:rsidRPr="00586AEE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All staff </w:t>
                </w:r>
                <w:r w:rsidR="00D237D1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involved </w:t>
                </w: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have been made aware of the arrangements for, and the requirements of, appeals in Summer 2021, as set out in the </w:t>
                </w:r>
                <w:r w:rsidRPr="00586AEE">
                  <w:rPr>
                    <w:rFonts w:eastAsia="Calibri" w:cstheme="minorHAnsi"/>
                    <w:b/>
                    <w:i/>
                    <w:iCs/>
                    <w:color w:val="000000" w:themeColor="text1"/>
                  </w:rPr>
                  <w:t>JCQ Guidance</w:t>
                </w:r>
                <w:r w:rsidR="00BB13C6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1D6D3493" w14:textId="34813828" w:rsidR="009258F9" w:rsidRPr="00586AEE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Internal arrangements will be in place for the swift and effective handling of Centre Reviews in compliance with the requirements</w:t>
                </w:r>
                <w:r w:rsidR="003F37F8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  <w:r w:rsidR="0004576A" w:rsidRPr="00586AEE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4D2B8F" w:rsidP="00803CEB">
          <w:pPr>
            <w:pStyle w:val="StdPara"/>
          </w:pPr>
        </w:p>
      </w:sdtContent>
    </w:sdt>
    <w:p w14:paraId="66CD1E5A" w14:textId="50A865C9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DD95" w14:textId="77777777" w:rsidR="004D2B8F" w:rsidRDefault="004D2B8F" w:rsidP="00454767">
      <w:r>
        <w:separator/>
      </w:r>
    </w:p>
  </w:endnote>
  <w:endnote w:type="continuationSeparator" w:id="0">
    <w:p w14:paraId="472F1A36" w14:textId="77777777" w:rsidR="004D2B8F" w:rsidRDefault="004D2B8F" w:rsidP="00454767">
      <w:r>
        <w:continuationSeparator/>
      </w:r>
    </w:p>
  </w:endnote>
  <w:endnote w:type="continuationNotice" w:id="1">
    <w:p w14:paraId="1F81DC19" w14:textId="77777777" w:rsidR="004D2B8F" w:rsidRDefault="004D2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391541">
          <w:rPr>
            <w:noProof/>
            <w:color w:val="5B5834"/>
          </w:rPr>
          <w:t>21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42E5" w14:textId="77777777" w:rsidR="004D2B8F" w:rsidRDefault="004D2B8F" w:rsidP="00454767">
      <w:r>
        <w:separator/>
      </w:r>
    </w:p>
  </w:footnote>
  <w:footnote w:type="continuationSeparator" w:id="0">
    <w:p w14:paraId="359CBE1D" w14:textId="77777777" w:rsidR="004D2B8F" w:rsidRDefault="004D2B8F" w:rsidP="00454767">
      <w:r>
        <w:continuationSeparator/>
      </w:r>
    </w:p>
  </w:footnote>
  <w:footnote w:type="continuationNotice" w:id="1">
    <w:p w14:paraId="10908761" w14:textId="77777777" w:rsidR="004D2B8F" w:rsidRDefault="004D2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0614"/>
    <w:multiLevelType w:val="hybridMultilevel"/>
    <w:tmpl w:val="97C6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0"/>
  </w:num>
  <w:num w:numId="6">
    <w:abstractNumId w:val="37"/>
  </w:num>
  <w:num w:numId="7">
    <w:abstractNumId w:val="22"/>
  </w:num>
  <w:num w:numId="8">
    <w:abstractNumId w:val="26"/>
  </w:num>
  <w:num w:numId="9">
    <w:abstractNumId w:val="31"/>
  </w:num>
  <w:num w:numId="10">
    <w:abstractNumId w:val="21"/>
  </w:num>
  <w:num w:numId="11">
    <w:abstractNumId w:val="34"/>
  </w:num>
  <w:num w:numId="12">
    <w:abstractNumId w:val="10"/>
  </w:num>
  <w:num w:numId="13">
    <w:abstractNumId w:val="4"/>
  </w:num>
  <w:num w:numId="14">
    <w:abstractNumId w:val="32"/>
  </w:num>
  <w:num w:numId="15">
    <w:abstractNumId w:val="27"/>
  </w:num>
  <w:num w:numId="16">
    <w:abstractNumId w:val="23"/>
  </w:num>
  <w:num w:numId="17">
    <w:abstractNumId w:val="19"/>
  </w:num>
  <w:num w:numId="18">
    <w:abstractNumId w:val="7"/>
  </w:num>
  <w:num w:numId="19">
    <w:abstractNumId w:val="35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9"/>
  </w:num>
  <w:num w:numId="25">
    <w:abstractNumId w:val="11"/>
  </w:num>
  <w:num w:numId="26">
    <w:abstractNumId w:val="36"/>
  </w:num>
  <w:num w:numId="27">
    <w:abstractNumId w:val="28"/>
  </w:num>
  <w:num w:numId="28">
    <w:abstractNumId w:val="17"/>
  </w:num>
  <w:num w:numId="29">
    <w:abstractNumId w:val="14"/>
  </w:num>
  <w:num w:numId="30">
    <w:abstractNumId w:val="12"/>
  </w:num>
  <w:num w:numId="31">
    <w:abstractNumId w:val="8"/>
  </w:num>
  <w:num w:numId="32">
    <w:abstractNumId w:val="30"/>
  </w:num>
  <w:num w:numId="33">
    <w:abstractNumId w:val="24"/>
  </w:num>
  <w:num w:numId="34">
    <w:abstractNumId w:val="3"/>
  </w:num>
  <w:num w:numId="35">
    <w:abstractNumId w:val="29"/>
  </w:num>
  <w:num w:numId="36">
    <w:abstractNumId w:val="33"/>
  </w:num>
  <w:num w:numId="37">
    <w:abstractNumId w:val="15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576A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0DFA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541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27456"/>
    <w:rsid w:val="00430E1D"/>
    <w:rsid w:val="004376AF"/>
    <w:rsid w:val="00445192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2B8F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86AEE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C4F7D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9/Gen_regs_approved_centres_20-21_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jcq-suspected-malpractice-policies-and-procedures-2019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1A13F-8819-4124-B3B6-89EB9596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Lever Centre Policy</dc:title>
  <dc:subject>for GCSEs summer 2021</dc:subject>
  <dc:creator>Philip Wright</dc:creator>
  <cp:keywords/>
  <dc:description/>
  <cp:lastModifiedBy>Mckeon, Dominic</cp:lastModifiedBy>
  <cp:revision>2</cp:revision>
  <dcterms:created xsi:type="dcterms:W3CDTF">2021-04-26T17:33:00Z</dcterms:created>
  <dcterms:modified xsi:type="dcterms:W3CDTF">2021-04-26T17:33:00Z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